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93</w:t>
      </w:r>
    </w:p>
    <w:p>
      <w:r>
        <w:t>Bundesgericht (BGE), 1967-11-24, DE</w:t>
      </w:r>
    </w:p>
    <w:p>
      <w:r>
        <w:rPr>
          <w:b/>
        </w:rPr>
        <w:t xml:space="preserve">Quelle: </w:t>
      </w:r>
      <w:r>
        <w:t>https://mcp.opencaselaw.ch/entscheid/bge_93 IV 93</w:t>
      </w:r>
    </w:p>
    <w:p>
      <w:r>
        <w:t>FR: ATF 93 IV 93</w:t>
      </w:r>
    </w:p>
    <w:p>
      <w:r>
        <w:t>IT: DTF 93 IV 93</w:t>
      </w:r>
    </w:p>
    <w:p>
      <w:pPr>
        <w:pStyle w:val="Heading2"/>
      </w:pPr>
      <w:r>
        <w:t>Regeste</w:t>
      </w:r>
    </w:p>
    <w:p>
      <w:r>
        <w:t>Regeste 1. Art. 174 Ziff. 2, 71 Abs. 2 und 3 StGB. Planmässigkeit der Verleumdung begründet weder ein Dauerdelikt noch ein fortgesetztes Delikt (Erw. 1). 2. Art. 173 f., 71 Abs. 3 StGB. Dauerdelikt. Ehrverletzung durch eine Strafanzeige ist kein Dauerdelikt (Erw. 2). 3. Art. 173 f., 71 Abs. 2, 1 StGB. Fortgesetztes Delikt. Blosse Prozessvorkehren in Prosequierung einer ehrenrührigen Strafanzeige sind nicht Fortsetzung der Ehrverletzung (Erw. 3).</w:t>
      </w:r>
    </w:p>
    <w:p>
      <w:pPr>
        <w:pStyle w:val="Heading2"/>
      </w:pPr>
      <w:r>
        <w:t>Erwägungen</w:t>
      </w:r>
    </w:p>
    <w:p>
      <w:r>
        <w:rPr>
          <w:b/>
        </w:rPr>
        <w:t>E. 1</w:t>
      </w:r>
    </w:p>
    <w:p>
      <w:r>
        <w:t>Nach Art. 178 Abs. 1 StGB verjährt die Verfolgung der Vergehen gegen die Ehre in zwei Jahren. Die vom 27. Mai 1964 datierte Strafanzeige an das Untersuchungsrichteramt Basel wurde am 11. Juni 1964 zur Post gegeben. Die Verfolgung der Ehrverletzungen war daher am 8. August 1966, als die Beschwerdeführer in Zürich die Klagen einreichten, verjährt, sofern man es nicht mit einem fortgesetzten Delikt nach Art. 71 Abs. 2 oder einem Dauerdelikt nach Abs. 3 zu tun hat, wie die Beschwerdeführer geltend machen. Dabei kommt es entgegen der Auffassung der Beschwerdeführer nicht darauf an, ob die behaupteten Verleumdungen im Sinne von Art. 174 Ziff. 2 StGB planmässig begangen wurden BGE 93 IV 93 S. 95 oder nicht. Die Planmässigkeit begründet kein Dauerdelikt, und für eine fortgesetzte Handlung beginnt die Verjährung nach Art. 71 Abs. 2 erst mit der letzten Teilhandlung zu laufen, auch wenn nicht Planmässigkeit vorliegt.</w:t>
      </w:r>
    </w:p>
    <w:p>
      <w:r>
        <w:rPr>
          <w:b/>
        </w:rPr>
        <w:t>E. 2</w:t>
      </w:r>
    </w:p>
    <w:p>
      <w:r>
        <w:t>Keinesfalls kann von einem Dauerdelikt die Rede sein. Wird eine Ehrverletzung durch eine Strafanzeige begangen, so dauert zwar der damit herbeigeführte rechtswidrige Erfolg an, nicht aber das strafbare Verhalten; dass die Strafanzeige schriftlich eingereicht wurde, ändert nichts (vgl. BGE 84 IV 17 ).</w:t>
      </w:r>
    </w:p>
    <w:p>
      <w:r>
        <w:rPr>
          <w:b/>
        </w:rPr>
        <w:t>E. 3</w:t>
      </w:r>
    </w:p>
    <w:p>
      <w:r>
        <w:t>Die Fortsetzung der mit der Strafanzeige verübten Ehrverletzungen erblicken die Beschwerdeführer darin, dass die Angeklagten immer wieder versucht hätten, der Anzeige zuerst beim Untersuchungsrichter und dann bei der Staatsanwaltschaft Basel-Stadt zum Durchbruch zu verhelfen. Diese Monierungen, wie die Beschwerdeführer die Versuche bezeichnen, seien darauf gerichtet gewesen, den ehrverletzenden Erfolg der Strafanzeige zu gewährleisten oder zu fördern. Die betreffenden Eingaben scheinen im vorliegenden Verfahren nicht beigezogen worden zu sein und befinden sich jedenfalls nicht unter den Akten. Ihr Beizug war für die Entscheidung auch nicht notwendig. Dass die Eingaben keinerlei Äusserungen enthielten, die schon an und für sich irgendwie an die Ehre der Beschwerdeführer gerührt hätten, anerkennen diese ausdrücklich. Sie erklären bloss, die Eingaben der Angeklagten an die Basler Behörden seien darauf gerichtet gewesen, den ehrverletzenden Erfolg der Strafanzeige zu gewährleisten oder zu fördern. Danach haben also die Angeklagten die als ehrverletzend eingeklagten Ausführungen der Strafanzeige in den Eingaben nicht wiederholt. Damit haben sie indessen gemäss Art. 1 StGB schon objektiv den Tatbestand von Art. 174 bzw. 173 StGB nicht erfüllen können, denn diese Bestimmungen setzen voraus, dass jemand bei einem andern eines unehrenhaften Verhaltens oder anderer Tatsachen, die geeignet sind, seinen Ruf zu schädigen, beschuldigt oder verdächtigt wird. Fortsetzungszusammenhang aber ist nur möglich zwischen Handlungen, die strafbar sind ( BGE 91 IV 66 ). Wer eine ehrverletzende Straf- oder Zivilklage einreicht, macht sich, wenn die Voraussetzungen der Art. 173 ff. StGB erfüllt sind, durch diese Handlung der (vollendeten) Ehrverletzung BGE 93 IV 93 S. 96 strafbar und kann nicht auch noch für die nachfolgenden Prozessvorkehren bestraft werden, die bloss der Prosequierung der Klage dienen. Sonst würde sich der Kläger durch jedes Fristverlängerungsgesuch und jeden Beweisantrag einer neuen Ehrverletzung schuldig machen. Die Hartnäckigkeit, mit der ein Kläger eine ehrenrührige Klage durchficht, kann von Bedeutung für das Strafmass sein; strafbare Fortsetzungstatbestände werden mit blossen Prozesshandlungen, die nicht in sich selber ehrenrührig sind, nicht geschaffen.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